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D71A" w14:textId="4420EBE7" w:rsidR="006059DD" w:rsidRDefault="006059DD" w:rsidP="00984923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>Załącznik nr 2A do SWZ</w:t>
      </w:r>
    </w:p>
    <w:p w14:paraId="70F191A3" w14:textId="0611BE07" w:rsidR="00984923" w:rsidRDefault="00984923" w:rsidP="00984923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  <w:r w:rsidRPr="00972EEA"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 xml:space="preserve">Serwer – </w:t>
      </w:r>
      <w:r w:rsidR="001E353C"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>1</w:t>
      </w:r>
      <w:r w:rsidRPr="00972EEA"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 xml:space="preserve"> szt.</w:t>
      </w:r>
    </w:p>
    <w:p w14:paraId="6D4E68DD" w14:textId="77777777" w:rsidR="006551B2" w:rsidRPr="006551B2" w:rsidRDefault="006551B2" w:rsidP="006551B2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  <w:r w:rsidRPr="006551B2"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>Nazwa producenta: ……………………………………………………….</w:t>
      </w:r>
    </w:p>
    <w:p w14:paraId="1601A9DD" w14:textId="7419E151" w:rsidR="006551B2" w:rsidRPr="00972EEA" w:rsidRDefault="006551B2" w:rsidP="006551B2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  <w:r w:rsidRPr="006551B2"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  <w:t>Oferowany model: …………………………………………………………</w:t>
      </w:r>
    </w:p>
    <w:p w14:paraId="34854A81" w14:textId="77777777" w:rsidR="00984923" w:rsidRPr="00972EEA" w:rsidRDefault="00984923" w:rsidP="00984923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246"/>
        <w:gridCol w:w="8250"/>
        <w:gridCol w:w="2835"/>
      </w:tblGrid>
      <w:tr w:rsidR="006551B2" w:rsidRPr="00972EEA" w14:paraId="5B8482BD" w14:textId="2B48736E" w:rsidTr="006551B2">
        <w:trPr>
          <w:trHeight w:val="405"/>
        </w:trPr>
        <w:tc>
          <w:tcPr>
            <w:tcW w:w="448" w:type="dxa"/>
            <w:shd w:val="clear" w:color="auto" w:fill="BFBFBF"/>
          </w:tcPr>
          <w:p w14:paraId="78881605" w14:textId="77777777" w:rsidR="006551B2" w:rsidRPr="00972EEA" w:rsidRDefault="006551B2" w:rsidP="00984923">
            <w:pPr>
              <w:spacing w:before="120" w:after="120" w:line="240" w:lineRule="auto"/>
              <w:ind w:left="-393" w:right="-369"/>
              <w:jc w:val="center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246" w:type="dxa"/>
            <w:shd w:val="clear" w:color="auto" w:fill="BFBFBF"/>
          </w:tcPr>
          <w:p w14:paraId="17C1B1E2" w14:textId="77777777" w:rsidR="006551B2" w:rsidRPr="00972EEA" w:rsidRDefault="006551B2" w:rsidP="00984923">
            <w:pPr>
              <w:spacing w:before="120" w:after="120" w:line="240" w:lineRule="auto"/>
              <w:jc w:val="center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Nazwa komponentu</w:t>
            </w:r>
          </w:p>
        </w:tc>
        <w:tc>
          <w:tcPr>
            <w:tcW w:w="8250" w:type="dxa"/>
            <w:shd w:val="clear" w:color="auto" w:fill="BFBFBF"/>
          </w:tcPr>
          <w:p w14:paraId="7CD1EC83" w14:textId="77777777" w:rsidR="006551B2" w:rsidRPr="00972EEA" w:rsidRDefault="006551B2" w:rsidP="00984923">
            <w:pPr>
              <w:spacing w:before="120" w:after="120" w:line="240" w:lineRule="auto"/>
              <w:ind w:right="52"/>
              <w:jc w:val="center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Wymagane minimalne parametry techniczne</w:t>
            </w:r>
          </w:p>
        </w:tc>
        <w:tc>
          <w:tcPr>
            <w:tcW w:w="2835" w:type="dxa"/>
          </w:tcPr>
          <w:p w14:paraId="1580FC6F" w14:textId="1D372167" w:rsidR="006551B2" w:rsidRPr="00972EEA" w:rsidRDefault="002947CA" w:rsidP="00984923">
            <w:pPr>
              <w:spacing w:before="120" w:after="120" w:line="240" w:lineRule="auto"/>
              <w:ind w:right="52"/>
              <w:jc w:val="center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Wypełnia Wykonawca</w:t>
            </w:r>
          </w:p>
        </w:tc>
      </w:tr>
      <w:tr w:rsidR="001E353C" w:rsidRPr="00972EEA" w14:paraId="729DB91D" w14:textId="1060EE04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05987A36" w14:textId="77777777" w:rsidR="001E353C" w:rsidRPr="00972EEA" w:rsidRDefault="001E353C" w:rsidP="001E353C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45950C29" w14:textId="249EBD0C" w:rsidR="001E353C" w:rsidRPr="00972EEA" w:rsidRDefault="001E353C" w:rsidP="001E353C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Obudowa</w:t>
            </w:r>
          </w:p>
        </w:tc>
        <w:tc>
          <w:tcPr>
            <w:tcW w:w="8250" w:type="dxa"/>
            <w:shd w:val="clear" w:color="auto" w:fill="FFFFFF"/>
          </w:tcPr>
          <w:p w14:paraId="0F505F0F" w14:textId="77777777" w:rsidR="001E353C" w:rsidRPr="00972EEA" w:rsidRDefault="001E353C" w:rsidP="001E353C">
            <w:pPr>
              <w:numPr>
                <w:ilvl w:val="0"/>
                <w:numId w:val="1"/>
              </w:num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Obudowa Rack o wysokości max 2U</w:t>
            </w:r>
          </w:p>
          <w:p w14:paraId="195B7B79" w14:textId="77777777" w:rsidR="001E353C" w:rsidRPr="00972EEA" w:rsidRDefault="001E353C" w:rsidP="001E353C">
            <w:pPr>
              <w:numPr>
                <w:ilvl w:val="0"/>
                <w:numId w:val="1"/>
              </w:num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Obudowa musi umożliwiać instalację min. 8 dysków SFF SATA/SAS 2,5”</w:t>
            </w:r>
          </w:p>
          <w:p w14:paraId="659C8D33" w14:textId="77777777" w:rsidR="001E353C" w:rsidRPr="00972EEA" w:rsidRDefault="001E353C" w:rsidP="001E353C">
            <w:pPr>
              <w:numPr>
                <w:ilvl w:val="0"/>
                <w:numId w:val="1"/>
              </w:num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Serwer wraz z kompletem wysuwanych szyn umożliwiających montaż w szafie rack i wysuwanie serwera do celów serwisowych.</w:t>
            </w:r>
          </w:p>
          <w:p w14:paraId="02C7ACE8" w14:textId="41E1B8DD" w:rsidR="001E353C" w:rsidRPr="00972EEA" w:rsidRDefault="001E353C" w:rsidP="001E353C">
            <w:pPr>
              <w:numPr>
                <w:ilvl w:val="0"/>
                <w:numId w:val="1"/>
              </w:num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Obudowa serwera musi mieć możliwość instalacji ramki zabezpieczającej dyski przed wyjęciem, zamykanej na klucz.</w:t>
            </w:r>
          </w:p>
        </w:tc>
        <w:tc>
          <w:tcPr>
            <w:tcW w:w="2835" w:type="dxa"/>
          </w:tcPr>
          <w:p w14:paraId="7197D210" w14:textId="4E879171" w:rsidR="001E353C" w:rsidRPr="00972EEA" w:rsidRDefault="001E353C" w:rsidP="001E353C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1E353C" w:rsidRPr="00972EEA" w14:paraId="08BA5531" w14:textId="68629C02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27D39502" w14:textId="77777777" w:rsidR="001E353C" w:rsidRPr="00972EEA" w:rsidRDefault="001E353C" w:rsidP="001E353C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7B0830C9" w14:textId="4A1478A4" w:rsidR="001E353C" w:rsidRPr="00972EEA" w:rsidRDefault="001E353C" w:rsidP="001E353C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Płyta główna</w:t>
            </w:r>
          </w:p>
        </w:tc>
        <w:tc>
          <w:tcPr>
            <w:tcW w:w="8250" w:type="dxa"/>
            <w:shd w:val="clear" w:color="auto" w:fill="FFFFFF"/>
          </w:tcPr>
          <w:p w14:paraId="57060F17" w14:textId="77777777" w:rsidR="001E353C" w:rsidRPr="00972EEA" w:rsidRDefault="001E353C" w:rsidP="001E353C">
            <w:pPr>
              <w:numPr>
                <w:ilvl w:val="0"/>
                <w:numId w:val="2"/>
              </w:num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Płyta główna z możliwością zainstalowania do dwóch procesorów. Płyta główna musi być zaprojektowana przez producenta serwera.</w:t>
            </w:r>
          </w:p>
          <w:p w14:paraId="1E7DCCD5" w14:textId="77777777" w:rsidR="001E353C" w:rsidRPr="00972EEA" w:rsidRDefault="001E353C" w:rsidP="001E353C">
            <w:pPr>
              <w:numPr>
                <w:ilvl w:val="0"/>
                <w:numId w:val="2"/>
              </w:num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Płyta główna musi wspierać procesory obsługujące min. 192 fizyczne rdzenie procesora (1 CPU) oraz 6TB RAM w pamięciach DIMM DDR5 (konfiguracja dwuprocesorowa).</w:t>
            </w:r>
          </w:p>
          <w:p w14:paraId="5B27DB4C" w14:textId="77777777" w:rsidR="001E353C" w:rsidRPr="00972EEA" w:rsidRDefault="001E353C" w:rsidP="001E353C">
            <w:pPr>
              <w:numPr>
                <w:ilvl w:val="0"/>
                <w:numId w:val="2"/>
              </w:num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Płyta główna musi wspierać możliwość instalacji dwóch procesorów, gdzie TDP każdego to 500W.</w:t>
            </w:r>
          </w:p>
          <w:p w14:paraId="370F26AF" w14:textId="2314DD3C" w:rsidR="001E353C" w:rsidRPr="00972EEA" w:rsidRDefault="001E353C" w:rsidP="001E353C">
            <w:pPr>
              <w:numPr>
                <w:ilvl w:val="0"/>
                <w:numId w:val="2"/>
              </w:num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Płyta główna musi mieć możliwość instalacji minimum 24 modułów DIMM DDR5.</w:t>
            </w:r>
          </w:p>
        </w:tc>
        <w:tc>
          <w:tcPr>
            <w:tcW w:w="2835" w:type="dxa"/>
          </w:tcPr>
          <w:p w14:paraId="2A07DDA8" w14:textId="364C6543" w:rsidR="001E353C" w:rsidRPr="00972EEA" w:rsidRDefault="001E353C" w:rsidP="001E353C">
            <w:p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583750B3" w14:textId="0ACF4336" w:rsidTr="006551B2">
        <w:trPr>
          <w:trHeight w:val="237"/>
        </w:trPr>
        <w:tc>
          <w:tcPr>
            <w:tcW w:w="448" w:type="dxa"/>
            <w:shd w:val="clear" w:color="auto" w:fill="FFFFFF"/>
            <w:vAlign w:val="center"/>
          </w:tcPr>
          <w:p w14:paraId="6F62F87D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42E3BC63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Chipset</w:t>
            </w:r>
          </w:p>
        </w:tc>
        <w:tc>
          <w:tcPr>
            <w:tcW w:w="8250" w:type="dxa"/>
            <w:shd w:val="clear" w:color="auto" w:fill="FFFFFF"/>
          </w:tcPr>
          <w:p w14:paraId="6F762863" w14:textId="77777777" w:rsidR="006551B2" w:rsidRDefault="006551B2" w:rsidP="00984923">
            <w:pPr>
              <w:numPr>
                <w:ilvl w:val="0"/>
                <w:numId w:val="3"/>
              </w:num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Dedykowany przez producenta procesora do pracy w serwerach dwuprocesorowych.</w:t>
            </w:r>
          </w:p>
          <w:p w14:paraId="35BEE7E0" w14:textId="77777777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</w:tcPr>
          <w:p w14:paraId="4C52258A" w14:textId="79C5FF9D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1E353C" w:rsidRPr="00972EEA" w14:paraId="0AF1C0B6" w14:textId="0676FE72" w:rsidTr="006551B2">
        <w:trPr>
          <w:trHeight w:val="840"/>
        </w:trPr>
        <w:tc>
          <w:tcPr>
            <w:tcW w:w="448" w:type="dxa"/>
            <w:shd w:val="clear" w:color="auto" w:fill="FFFFFF"/>
            <w:vAlign w:val="center"/>
          </w:tcPr>
          <w:p w14:paraId="5D1FC0C3" w14:textId="77777777" w:rsidR="001E353C" w:rsidRPr="00972EEA" w:rsidRDefault="001E353C" w:rsidP="001E353C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2632DB99" w14:textId="7993A2D4" w:rsidR="001E353C" w:rsidRPr="00972EEA" w:rsidRDefault="001E353C" w:rsidP="001E353C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</w:t>
            </w:r>
          </w:p>
        </w:tc>
        <w:tc>
          <w:tcPr>
            <w:tcW w:w="8250" w:type="dxa"/>
            <w:shd w:val="clear" w:color="auto" w:fill="FFFFFF"/>
          </w:tcPr>
          <w:p w14:paraId="704EE232" w14:textId="77777777" w:rsidR="001E353C" w:rsidRPr="00972EEA" w:rsidRDefault="001E353C" w:rsidP="001E353C">
            <w:pPr>
              <w:numPr>
                <w:ilvl w:val="0"/>
                <w:numId w:val="4"/>
              </w:numPr>
              <w:spacing w:after="0" w:line="240" w:lineRule="auto"/>
              <w:ind w:left="348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Zainstalowane 2 szt. procesorów w momencie dostawy serwera.</w:t>
            </w:r>
          </w:p>
          <w:p w14:paraId="1D48899C" w14:textId="77777777" w:rsidR="001E353C" w:rsidRPr="00972EEA" w:rsidRDefault="001E353C" w:rsidP="001E353C">
            <w:pPr>
              <w:numPr>
                <w:ilvl w:val="0"/>
                <w:numId w:val="4"/>
              </w:numPr>
              <w:spacing w:after="0" w:line="240" w:lineRule="auto"/>
              <w:ind w:left="348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Specyfikacja każdego z procesorów:</w:t>
            </w:r>
          </w:p>
          <w:p w14:paraId="02D3D974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obsługiwać pamięci RAM DDR5 typu 6400MT.</w:t>
            </w:r>
          </w:p>
          <w:p w14:paraId="1449D7F6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posiadać minimum 128 fizyczne rdzenie, gdzie pojedynczy rdzeń musi mieć taktowane minimum 2.7GHz. Wszystkie rdzenie procesora muszą mieć takie same taktowanie – nie dopuszcza się procesorów, które mają rdzenie wysokiego i niskiego priorytetu, gdzie jedne i drugie mają inne taktowanie zegara. Liczba rdzeni fizycznych musi być liczona bez uwzględniania technologii typu Hyper-Threading (HT) dzięki którym procesor ma 2x więcej rdzeni logicznych.</w:t>
            </w:r>
          </w:p>
          <w:p w14:paraId="6FEEC146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obsługiwać tryb pracy Turbo/Boost w którym taktowanie danego rdzenia jest powiększone do minimum 4.1GHz.</w:t>
            </w:r>
          </w:p>
          <w:p w14:paraId="35798128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posiadać minimum 500MB pamięci cache.</w:t>
            </w:r>
          </w:p>
          <w:p w14:paraId="115CB693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mieć maksymalne TDP nie większe niż 500W.</w:t>
            </w:r>
          </w:p>
          <w:p w14:paraId="2CD4CD1E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Procesor musi działać w systemach dwuprocesorowych.</w:t>
            </w:r>
          </w:p>
          <w:p w14:paraId="7ACDB5B6" w14:textId="77777777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Wynik wydajności serwera musi wynosić min 420 punktów (1 CPU) lub 520 punktów (2 CPU) dla testu SPECspeed®2017_fp_base opublikowanego na stronie www </w:t>
            </w:r>
            <w:hyperlink r:id="rId7" w:history="1">
              <w:r w:rsidRPr="00972EEA">
                <w:rPr>
                  <w:rFonts w:ascii="Calibri" w:eastAsia="SimSun" w:hAnsi="Calibri" w:cs="Calibri"/>
                  <w:color w:val="0563C1"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http://spec.org/cpu2017/results/cpu2017.html</w:t>
              </w:r>
            </w:hyperlink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 Wynik testu musi być wykonany dla dowolnego modelu serwera z portfolio producenta zaoferowanego serwera.</w:t>
            </w:r>
          </w:p>
          <w:p w14:paraId="77A53E02" w14:textId="40C101B3" w:rsidR="001E353C" w:rsidRPr="00972EEA" w:rsidRDefault="001E353C" w:rsidP="001E353C">
            <w:pPr>
              <w:numPr>
                <w:ilvl w:val="1"/>
                <w:numId w:val="4"/>
              </w:numPr>
              <w:spacing w:after="0" w:line="240" w:lineRule="auto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Procesor musi obsługiwać instrukcje 64-bitowej architektury x86, zestawy instrukcji procesorów AVX2 oraz AVX512.</w:t>
            </w:r>
          </w:p>
        </w:tc>
        <w:tc>
          <w:tcPr>
            <w:tcW w:w="2835" w:type="dxa"/>
          </w:tcPr>
          <w:p w14:paraId="1E999010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lastRenderedPageBreak/>
              <w:t>spełnia/nie spełnia *</w:t>
            </w:r>
          </w:p>
          <w:p w14:paraId="04387EDF" w14:textId="6304F7F0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Podać producenta oraz model procesora:………………</w:t>
            </w:r>
          </w:p>
          <w:p w14:paraId="0667E850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5B47FA7C" w14:textId="6649D7D2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……………………………</w:t>
            </w:r>
          </w:p>
          <w:p w14:paraId="73615470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7F15461" w14:textId="2A0E75D3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……………………………</w:t>
            </w:r>
          </w:p>
          <w:p w14:paraId="003F0BA6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0DAE7CE8" w14:textId="57EB1AE8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……………………………</w:t>
            </w:r>
          </w:p>
          <w:p w14:paraId="79FA7A17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192ABA34" w14:textId="3999BFDF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……………………………</w:t>
            </w:r>
          </w:p>
          <w:p w14:paraId="17360D86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1E0C10B1" w14:textId="60C69C9C" w:rsidR="001E353C" w:rsidRPr="00972EEA" w:rsidRDefault="001E353C" w:rsidP="001E353C">
            <w:pPr>
              <w:spacing w:after="0" w:line="240" w:lineRule="auto"/>
              <w:ind w:left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……………………………</w:t>
            </w:r>
          </w:p>
        </w:tc>
      </w:tr>
      <w:tr w:rsidR="006551B2" w:rsidRPr="00972EEA" w14:paraId="30F8975D" w14:textId="4FE90F65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777AAD3A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3854833B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Pamięć RAM</w:t>
            </w:r>
          </w:p>
        </w:tc>
        <w:tc>
          <w:tcPr>
            <w:tcW w:w="8250" w:type="dxa"/>
            <w:shd w:val="clear" w:color="auto" w:fill="FFFFFF"/>
            <w:vAlign w:val="center"/>
          </w:tcPr>
          <w:p w14:paraId="2BC54E30" w14:textId="77777777" w:rsidR="001E353C" w:rsidRPr="00972EEA" w:rsidRDefault="001E353C" w:rsidP="001E353C">
            <w:pPr>
              <w:numPr>
                <w:ilvl w:val="0"/>
                <w:numId w:val="5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Wszystkie zainstalowane pamięci musza być takiego samego rozmiaru (GB) i nie mogą być mniejsze niż 96GB na 1 moduł RDIMM. </w:t>
            </w:r>
          </w:p>
          <w:p w14:paraId="4B5549C0" w14:textId="77777777" w:rsidR="001E353C" w:rsidRDefault="001E353C" w:rsidP="001E353C">
            <w:pPr>
              <w:numPr>
                <w:ilvl w:val="0"/>
                <w:numId w:val="5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Serwer musi być dostarczony z minimum </w:t>
            </w: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2304</w:t>
            </w: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GB RAM pamięci typu Registered 6400MT ECC DDR5. </w:t>
            </w:r>
          </w:p>
          <w:p w14:paraId="21FB1B13" w14:textId="77777777" w:rsidR="001E353C" w:rsidRDefault="001E353C" w:rsidP="001E353C">
            <w:pPr>
              <w:numPr>
                <w:ilvl w:val="0"/>
                <w:numId w:val="5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Dodatkowo zostaną dostarczone 5 sztuk kości pamięci RAM </w:t>
            </w: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GB</w:t>
            </w: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typu Registered 6400MT ECC DDR5</w:t>
            </w: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razem 480 GB RAM.</w:t>
            </w:r>
          </w:p>
          <w:p w14:paraId="04ACC9FD" w14:textId="394A76F4" w:rsidR="006551B2" w:rsidRPr="00972EEA" w:rsidRDefault="001E353C" w:rsidP="001E353C">
            <w:pPr>
              <w:numPr>
                <w:ilvl w:val="0"/>
                <w:numId w:val="5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Dodatkowo zostaną dostarczone 6 sztuk kości Pamięci RAM 64 GB </w:t>
            </w:r>
            <w:r w:rsidRPr="00582348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typu Registered 6400MT ECC DDR5</w:t>
            </w: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razem 384 GB RAM.</w:t>
            </w:r>
          </w:p>
        </w:tc>
        <w:tc>
          <w:tcPr>
            <w:tcW w:w="2835" w:type="dxa"/>
          </w:tcPr>
          <w:p w14:paraId="3B007F44" w14:textId="4DF859B9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29EE1743" w14:textId="1D1F2AEC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4BD3A61F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1198DD37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Zabezpieczenie pamięci</w:t>
            </w:r>
          </w:p>
        </w:tc>
        <w:tc>
          <w:tcPr>
            <w:tcW w:w="8250" w:type="dxa"/>
            <w:shd w:val="clear" w:color="auto" w:fill="FFFFFF"/>
          </w:tcPr>
          <w:p w14:paraId="306B3450" w14:textId="77777777" w:rsidR="006551B2" w:rsidRPr="00972EEA" w:rsidRDefault="006551B2" w:rsidP="00984923">
            <w:pPr>
              <w:numPr>
                <w:ilvl w:val="0"/>
                <w:numId w:val="6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ECC, Memory Mirroring, Single Device Data Correction  (SDDC), Adaptive Double Device Data Correction (ADDDC), </w:t>
            </w:r>
          </w:p>
          <w:p w14:paraId="1BC2B6C8" w14:textId="77777777" w:rsidR="006551B2" w:rsidRPr="00972EEA" w:rsidRDefault="006551B2" w:rsidP="00984923">
            <w:pPr>
              <w:numPr>
                <w:ilvl w:val="0"/>
                <w:numId w:val="6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 związku z różnym nazewnictwem Zamawiający akceptuje również równoważne: Advanced ECC, Memory Page Retire, Fault Resilient Memory, Memory Self-Healing lub PPR, Partial Cache Line Sparing do tych opisanym w pkt.1.</w:t>
            </w:r>
          </w:p>
        </w:tc>
        <w:tc>
          <w:tcPr>
            <w:tcW w:w="2835" w:type="dxa"/>
          </w:tcPr>
          <w:p w14:paraId="4FBE63B2" w14:textId="345EE0CC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55D45349" w14:textId="560373D6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2DFF1EF6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2F5390FF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Pamięć masowa</w:t>
            </w:r>
          </w:p>
        </w:tc>
        <w:tc>
          <w:tcPr>
            <w:tcW w:w="8250" w:type="dxa"/>
            <w:shd w:val="clear" w:color="auto" w:fill="FFFFFF"/>
          </w:tcPr>
          <w:p w14:paraId="33EE4102" w14:textId="77777777" w:rsidR="006551B2" w:rsidRPr="00972EEA" w:rsidRDefault="006551B2" w:rsidP="00984923">
            <w:pPr>
              <w:numPr>
                <w:ilvl w:val="0"/>
                <w:numId w:val="7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Zainstalowane 2 dyski SSD o pojemności min. 460GB każdy. </w:t>
            </w:r>
          </w:p>
          <w:p w14:paraId="5640B04F" w14:textId="77777777" w:rsidR="006551B2" w:rsidRPr="00972EEA" w:rsidRDefault="006551B2" w:rsidP="00984923">
            <w:pPr>
              <w:numPr>
                <w:ilvl w:val="0"/>
                <w:numId w:val="7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Dyski muszą posiadać parametr żywotności DWPD nie mniejszy niż 1.0 przy założeniu 5 lat eksploatacji. </w:t>
            </w:r>
          </w:p>
          <w:p w14:paraId="0AB8A497" w14:textId="77777777" w:rsidR="006551B2" w:rsidRPr="00972EEA" w:rsidRDefault="006551B2" w:rsidP="00984923">
            <w:pPr>
              <w:numPr>
                <w:ilvl w:val="0"/>
                <w:numId w:val="7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Dyski muszą być dyskami HotSwap zainstalowanymi z przodu obudowy serwera.</w:t>
            </w:r>
          </w:p>
          <w:p w14:paraId="688ED8D2" w14:textId="77777777" w:rsidR="006551B2" w:rsidRPr="00972EEA" w:rsidRDefault="006551B2" w:rsidP="00984923">
            <w:pPr>
              <w:numPr>
                <w:ilvl w:val="0"/>
                <w:numId w:val="7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Dyski muszą być podłączone do sprzętowego kontrolera RAID wspierającego RAID1 (Mirror).</w:t>
            </w:r>
          </w:p>
          <w:p w14:paraId="4B20D152" w14:textId="77777777" w:rsidR="006551B2" w:rsidRPr="00972EEA" w:rsidRDefault="006551B2" w:rsidP="00984923">
            <w:pPr>
              <w:numPr>
                <w:ilvl w:val="0"/>
                <w:numId w:val="7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Dostarczone dyski SSD będą stanowić dysk systemowy RAID1 dla Hypervisora z którego będzie uruchamiany serwer.</w:t>
            </w:r>
          </w:p>
        </w:tc>
        <w:tc>
          <w:tcPr>
            <w:tcW w:w="2835" w:type="dxa"/>
          </w:tcPr>
          <w:p w14:paraId="5D7FC037" w14:textId="5E6D81E5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1ACCE5F7" w14:textId="08FDF844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4D8C09B6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105D5E11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Wbudowane porty</w:t>
            </w:r>
          </w:p>
        </w:tc>
        <w:tc>
          <w:tcPr>
            <w:tcW w:w="8250" w:type="dxa"/>
            <w:shd w:val="clear" w:color="auto" w:fill="FFFFFF"/>
          </w:tcPr>
          <w:p w14:paraId="68EE6892" w14:textId="77777777" w:rsidR="006551B2" w:rsidRPr="00972EEA" w:rsidRDefault="006551B2" w:rsidP="00984923">
            <w:pPr>
              <w:numPr>
                <w:ilvl w:val="0"/>
                <w:numId w:val="8"/>
              </w:numPr>
              <w:spacing w:before="60" w:after="60" w:line="240" w:lineRule="auto"/>
              <w:ind w:left="348" w:right="52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Przód serwera – minimum 1 port USB 2.0 lub lepszy</w:t>
            </w:r>
          </w:p>
          <w:p w14:paraId="1D2EA44C" w14:textId="77777777" w:rsidR="006551B2" w:rsidRPr="00972EEA" w:rsidRDefault="006551B2" w:rsidP="00984923">
            <w:pPr>
              <w:numPr>
                <w:ilvl w:val="0"/>
                <w:numId w:val="8"/>
              </w:numPr>
              <w:spacing w:before="60" w:after="60" w:line="240" w:lineRule="auto"/>
              <w:ind w:left="348" w:right="52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Tył serwera – minimum 2 porty USB 3.0 oraz port VGA (D-SUB)</w:t>
            </w:r>
          </w:p>
          <w:p w14:paraId="2161C9BC" w14:textId="77777777" w:rsidR="006551B2" w:rsidRPr="00972EEA" w:rsidRDefault="006551B2" w:rsidP="00984923">
            <w:pPr>
              <w:numPr>
                <w:ilvl w:val="0"/>
                <w:numId w:val="8"/>
              </w:numPr>
              <w:spacing w:before="60" w:after="60" w:line="240" w:lineRule="auto"/>
              <w:ind w:left="348" w:right="52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Wewnątrz serwera - minimum 1 port USB 3.0</w:t>
            </w:r>
          </w:p>
          <w:p w14:paraId="3F84E7C5" w14:textId="77777777" w:rsidR="006551B2" w:rsidRPr="00972EEA" w:rsidRDefault="006551B2" w:rsidP="00984923">
            <w:pPr>
              <w:numPr>
                <w:ilvl w:val="0"/>
                <w:numId w:val="8"/>
              </w:numPr>
              <w:spacing w:before="60" w:after="60" w:line="240" w:lineRule="auto"/>
              <w:ind w:left="348" w:right="52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Porty mają umożliwić podłączenie klawiatury oraz nośnika klasy Flash PenDrive. Porty nie mogą być realizowane przez karty PCI-E czy przejściówki albo wymagać dodatkowych kabli (np. rozszywający kabel ze specjalnego złącza na złącza USB/VGA).</w:t>
            </w:r>
          </w:p>
        </w:tc>
        <w:tc>
          <w:tcPr>
            <w:tcW w:w="2835" w:type="dxa"/>
          </w:tcPr>
          <w:p w14:paraId="122A0CF7" w14:textId="6DC1F6AC" w:rsidR="006551B2" w:rsidRPr="00972EEA" w:rsidRDefault="006551B2" w:rsidP="006551B2">
            <w:p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52FF9CDC" w14:textId="72402569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419EEB94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08C0651C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Sloty rozszerzeń</w:t>
            </w:r>
          </w:p>
        </w:tc>
        <w:tc>
          <w:tcPr>
            <w:tcW w:w="8250" w:type="dxa"/>
            <w:shd w:val="clear" w:color="auto" w:fill="FFFFFF"/>
          </w:tcPr>
          <w:p w14:paraId="57F39C91" w14:textId="77777777" w:rsidR="006551B2" w:rsidRPr="00972EEA" w:rsidRDefault="006551B2" w:rsidP="00984923">
            <w:pPr>
              <w:numPr>
                <w:ilvl w:val="0"/>
                <w:numId w:val="9"/>
              </w:numPr>
              <w:spacing w:before="60" w:after="60" w:line="240" w:lineRule="auto"/>
              <w:ind w:left="348" w:right="52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Serwer w dostarczonej konfiguracji musi posiadać 8 slotów PCI-E 5.0 (na ilość slotów PCI-E składają się również te w których są zainstalowane karty).</w:t>
            </w:r>
          </w:p>
          <w:p w14:paraId="37CA45C3" w14:textId="77777777" w:rsidR="006551B2" w:rsidRPr="00972EEA" w:rsidRDefault="006551B2" w:rsidP="00984923">
            <w:pPr>
              <w:numPr>
                <w:ilvl w:val="0"/>
                <w:numId w:val="9"/>
              </w:numPr>
              <w:spacing w:before="60" w:after="60" w:line="240" w:lineRule="auto"/>
              <w:ind w:left="348" w:right="52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Serwer musi posiadać minimum 2 sloty OCP na karty Ethernet (na ilość slotów OCP składają się również te w których są zainstalowane karty).</w:t>
            </w:r>
          </w:p>
        </w:tc>
        <w:tc>
          <w:tcPr>
            <w:tcW w:w="2835" w:type="dxa"/>
          </w:tcPr>
          <w:p w14:paraId="21E82A80" w14:textId="4A817F06" w:rsidR="006551B2" w:rsidRPr="00972EEA" w:rsidRDefault="006551B2" w:rsidP="006551B2">
            <w:pPr>
              <w:spacing w:before="60" w:after="60" w:line="240" w:lineRule="auto"/>
              <w:ind w:left="348" w:right="52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lastRenderedPageBreak/>
              <w:t>spełnia/nie spełnia *</w:t>
            </w:r>
          </w:p>
        </w:tc>
      </w:tr>
      <w:tr w:rsidR="006551B2" w:rsidRPr="00972EEA" w14:paraId="5CF41E68" w14:textId="62B345FE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33318C5F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0EE2FA4C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Interfejsy sieciowe</w:t>
            </w:r>
          </w:p>
        </w:tc>
        <w:tc>
          <w:tcPr>
            <w:tcW w:w="8250" w:type="dxa"/>
            <w:shd w:val="clear" w:color="auto" w:fill="FFFFFF"/>
          </w:tcPr>
          <w:p w14:paraId="34A8EAA9" w14:textId="77777777" w:rsidR="006551B2" w:rsidRPr="00972EEA" w:rsidRDefault="006551B2" w:rsidP="00984923">
            <w:pPr>
              <w:numPr>
                <w:ilvl w:val="0"/>
                <w:numId w:val="10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Zainstalowane i w pełni funkcjonalne interfejsy:</w:t>
            </w:r>
          </w:p>
          <w:p w14:paraId="4F3F1FF3" w14:textId="77777777" w:rsidR="006551B2" w:rsidRPr="00972EEA" w:rsidRDefault="006551B2" w:rsidP="00984923">
            <w:pPr>
              <w:numPr>
                <w:ilvl w:val="1"/>
                <w:numId w:val="10"/>
              </w:numPr>
              <w:spacing w:after="0" w:line="240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minimum 2 porty 10Gb lub 10/25Gb Ethernet w standardzie SFP+ z wkładkami 10GbE SFP+ MM. Porty Ethernet muszą być dostarczone na karcie w slocie typu OCP. </w:t>
            </w:r>
          </w:p>
          <w:p w14:paraId="43B97CDA" w14:textId="77777777" w:rsidR="006551B2" w:rsidRPr="00972EEA" w:rsidRDefault="006551B2" w:rsidP="00984923">
            <w:pPr>
              <w:numPr>
                <w:ilvl w:val="1"/>
                <w:numId w:val="10"/>
              </w:numPr>
              <w:spacing w:after="0" w:line="240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minimum 2 porty 16Gb (lub szybsze) Fibre-Channel z wkładkami FC SFP+ MM/SWL.</w:t>
            </w:r>
          </w:p>
        </w:tc>
        <w:tc>
          <w:tcPr>
            <w:tcW w:w="2835" w:type="dxa"/>
          </w:tcPr>
          <w:p w14:paraId="129104C8" w14:textId="0936E8FC" w:rsidR="006551B2" w:rsidRPr="00972EEA" w:rsidRDefault="006551B2" w:rsidP="006551B2">
            <w:pPr>
              <w:spacing w:after="0" w:line="240" w:lineRule="auto"/>
              <w:contextualSpacing/>
              <w:jc w:val="center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5A76FA66" w14:textId="60712886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1C3F6369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46D56EA3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Karta graficzna</w:t>
            </w:r>
          </w:p>
        </w:tc>
        <w:tc>
          <w:tcPr>
            <w:tcW w:w="8250" w:type="dxa"/>
            <w:shd w:val="clear" w:color="auto" w:fill="FFFFFF"/>
          </w:tcPr>
          <w:p w14:paraId="0502459A" w14:textId="77777777" w:rsidR="006551B2" w:rsidRPr="00972EEA" w:rsidRDefault="006551B2" w:rsidP="00984923">
            <w:pPr>
              <w:numPr>
                <w:ilvl w:val="0"/>
                <w:numId w:val="11"/>
              </w:numPr>
              <w:spacing w:before="60" w:after="60" w:line="240" w:lineRule="auto"/>
              <w:ind w:left="348" w:right="52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Zintegrowana karta graficzna umożliwiająca rozdzielczość min. 1920x1080, dedykowana pamięć układu graficznego min. 16MB</w:t>
            </w:r>
          </w:p>
        </w:tc>
        <w:tc>
          <w:tcPr>
            <w:tcW w:w="2835" w:type="dxa"/>
          </w:tcPr>
          <w:p w14:paraId="702C7B89" w14:textId="502C9B7C" w:rsidR="006551B2" w:rsidRPr="00972EEA" w:rsidRDefault="006551B2" w:rsidP="006551B2">
            <w:pPr>
              <w:spacing w:before="60" w:after="60" w:line="240" w:lineRule="auto"/>
              <w:ind w:left="348" w:right="52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3D362F0D" w14:textId="758C3552" w:rsidTr="006551B2">
        <w:trPr>
          <w:trHeight w:val="390"/>
        </w:trPr>
        <w:tc>
          <w:tcPr>
            <w:tcW w:w="448" w:type="dxa"/>
            <w:shd w:val="clear" w:color="auto" w:fill="FFFFFF"/>
            <w:vAlign w:val="center"/>
          </w:tcPr>
          <w:p w14:paraId="217113FE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0A18B132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Wentylatory</w:t>
            </w:r>
          </w:p>
        </w:tc>
        <w:tc>
          <w:tcPr>
            <w:tcW w:w="8250" w:type="dxa"/>
            <w:shd w:val="clear" w:color="auto" w:fill="FFFFFF"/>
          </w:tcPr>
          <w:p w14:paraId="70528E4C" w14:textId="77777777" w:rsidR="006551B2" w:rsidRPr="00972EEA" w:rsidRDefault="006551B2" w:rsidP="00984923">
            <w:pPr>
              <w:numPr>
                <w:ilvl w:val="0"/>
                <w:numId w:val="12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Wentylatory wspierające wymianę Hot-Swap, zamontowane nadmiarowo minimum N+1.</w:t>
            </w:r>
          </w:p>
          <w:p w14:paraId="2A29F039" w14:textId="77777777" w:rsidR="006551B2" w:rsidRPr="00972EEA" w:rsidRDefault="006551B2" w:rsidP="00984923">
            <w:pPr>
              <w:numPr>
                <w:ilvl w:val="0"/>
                <w:numId w:val="12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Serwer musi być chłodzony powietrzem, nie dopuszcza się konstrukcji typu wymagających chłodzeniem cieczą (tzw. liquid-cooling)</w:t>
            </w:r>
          </w:p>
        </w:tc>
        <w:tc>
          <w:tcPr>
            <w:tcW w:w="2835" w:type="dxa"/>
          </w:tcPr>
          <w:p w14:paraId="1EE6830D" w14:textId="23213DB2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4357782F" w14:textId="0C3E51BB" w:rsidTr="006551B2">
        <w:trPr>
          <w:trHeight w:val="60"/>
        </w:trPr>
        <w:tc>
          <w:tcPr>
            <w:tcW w:w="448" w:type="dxa"/>
            <w:shd w:val="clear" w:color="auto" w:fill="FFFFFF"/>
            <w:vAlign w:val="center"/>
          </w:tcPr>
          <w:p w14:paraId="62B7EC99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44FC927B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8250" w:type="dxa"/>
            <w:shd w:val="clear" w:color="auto" w:fill="FFFFFF"/>
          </w:tcPr>
          <w:p w14:paraId="288C5DEA" w14:textId="77777777" w:rsidR="006551B2" w:rsidRPr="00972EEA" w:rsidRDefault="006551B2" w:rsidP="00984923">
            <w:pPr>
              <w:numPr>
                <w:ilvl w:val="0"/>
                <w:numId w:val="13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Minimum dwa identyczne zasilacze zainstalowane wewnątrz serwera, pracujące redundantnie, zapewniające możliwość wyłączenia i wyjęcia dowolnego z nich z serwera bez przerywania pracy serwera oraz bez ograniczania wydajności serwera.</w:t>
            </w:r>
          </w:p>
          <w:p w14:paraId="2BFB9CB2" w14:textId="77777777" w:rsidR="006551B2" w:rsidRPr="00972EEA" w:rsidRDefault="006551B2" w:rsidP="00984923">
            <w:pPr>
              <w:numPr>
                <w:ilvl w:val="0"/>
                <w:numId w:val="13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Mocy każdego zasilacza 1800W.</w:t>
            </w:r>
          </w:p>
          <w:p w14:paraId="6EB72577" w14:textId="77777777" w:rsidR="006551B2" w:rsidRPr="00972EEA" w:rsidRDefault="006551B2" w:rsidP="00984923">
            <w:pPr>
              <w:numPr>
                <w:ilvl w:val="0"/>
                <w:numId w:val="13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Zasilacze muszą mieć sprawność min. 96% czyli posiadać klasę zasilacza typu „80 Plus Titanium”.</w:t>
            </w:r>
          </w:p>
        </w:tc>
        <w:tc>
          <w:tcPr>
            <w:tcW w:w="2835" w:type="dxa"/>
          </w:tcPr>
          <w:p w14:paraId="4DD23BC3" w14:textId="02791F68" w:rsidR="006551B2" w:rsidRPr="006551B2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6551B2" w:rsidRPr="00972EEA" w14:paraId="3BC51EE5" w14:textId="154B96F6" w:rsidTr="006551B2">
        <w:trPr>
          <w:trHeight w:val="60"/>
        </w:trPr>
        <w:tc>
          <w:tcPr>
            <w:tcW w:w="448" w:type="dxa"/>
            <w:vAlign w:val="center"/>
          </w:tcPr>
          <w:p w14:paraId="0DAA7CD8" w14:textId="77777777" w:rsidR="006551B2" w:rsidRPr="00972EEA" w:rsidRDefault="006551B2" w:rsidP="00984923">
            <w:pPr>
              <w:spacing w:after="0" w:line="240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2246" w:type="dxa"/>
            <w:vAlign w:val="center"/>
          </w:tcPr>
          <w:p w14:paraId="608425CF" w14:textId="77777777" w:rsidR="006551B2" w:rsidRPr="00972EEA" w:rsidRDefault="006551B2" w:rsidP="00984923">
            <w:pPr>
              <w:spacing w:after="0" w:line="240" w:lineRule="auto"/>
              <w:ind w:right="52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  <w:tc>
          <w:tcPr>
            <w:tcW w:w="8250" w:type="dxa"/>
          </w:tcPr>
          <w:p w14:paraId="48AB7102" w14:textId="77777777" w:rsidR="006551B2" w:rsidRPr="00972EEA" w:rsidRDefault="006551B2" w:rsidP="00984923">
            <w:pPr>
              <w:numPr>
                <w:ilvl w:val="0"/>
                <w:numId w:val="14"/>
              </w:numPr>
              <w:spacing w:after="0" w:line="240" w:lineRule="auto"/>
              <w:ind w:left="348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Niezależna od zainstalowanego na serwerze systemu operacyjnego posiadająca dedykowany port Gigabit Ethernet RJ-45 (10/100/1000Mbps) i umożliwiająca:</w:t>
            </w:r>
          </w:p>
          <w:p w14:paraId="741B2866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zdalny dostęp do graficznego interfejsu WWW karty zarządzającej;</w:t>
            </w:r>
          </w:p>
          <w:p w14:paraId="50E9C69E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wsparcie dla SNMP lub SysLog, SSH i Redfish;</w:t>
            </w:r>
          </w:p>
          <w:p w14:paraId="33757517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zdalne monitorowanie i informowanie o statusie serwera (m.in. prędkości obrotowej wentylatorów, konfiguracji elementów serwera, temperaturze, aktualnym poborze prądu, stanie zainstalowanych dysków rotacyjnych oraz SSD);</w:t>
            </w:r>
          </w:p>
          <w:p w14:paraId="3C19B717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bufor logów dotyczących alertów oraz zdarzeń;</w:t>
            </w:r>
          </w:p>
          <w:p w14:paraId="4191CEFD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szyfrowane połączenie (TLS) oraz autentykacje i autoryzację użytkownika;</w:t>
            </w:r>
          </w:p>
          <w:p w14:paraId="11BE8D64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podmontowania zdalnych wirtualnych napędów (np. obrazu ISO CD/DVD) poprzez przeglądarkę – funkcjonalność nie może wymagać wtyczki Java RE;</w:t>
            </w:r>
          </w:p>
          <w:p w14:paraId="5642E1C2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wirtualną konsolę z dostępem do myszy, klawiatury (tzw. IP KVM) – funkcjonalność nie może wymagać wtyczki Java RE;</w:t>
            </w:r>
          </w:p>
          <w:p w14:paraId="5EDBC4AA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integracja z Active Directory oraz LDAP;</w:t>
            </w:r>
          </w:p>
          <w:p w14:paraId="30148AE5" w14:textId="77777777" w:rsidR="006551B2" w:rsidRPr="00972EEA" w:rsidRDefault="006551B2" w:rsidP="00984923">
            <w:pPr>
              <w:numPr>
                <w:ilvl w:val="1"/>
                <w:numId w:val="14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wysyłanie logów dotyczących pracy serwera poprzez SysLog lub SNMP;</w:t>
            </w:r>
          </w:p>
          <w:p w14:paraId="1F214491" w14:textId="77777777" w:rsidR="006551B2" w:rsidRPr="00972EEA" w:rsidRDefault="006551B2" w:rsidP="00984923">
            <w:pPr>
              <w:numPr>
                <w:ilvl w:val="0"/>
                <w:numId w:val="14"/>
              </w:numPr>
              <w:spacing w:after="0" w:line="251" w:lineRule="auto"/>
              <w:ind w:left="348" w:hanging="348"/>
              <w:contextualSpacing/>
              <w:jc w:val="both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Serwer musi posiadać możliwość zarządzania z poziomu darmowej aplikacji mobilnej producenta serwera na urządzenia z systemami iOS oraz Android. Aplikacja musi umożliwiać </w:t>
            </w: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podłączenie do serwera przez sieć IP lub przez port USB na froncie obudowy. Aplikacja musi umożliwiać:</w:t>
            </w:r>
          </w:p>
          <w:p w14:paraId="5A502C31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sprawdzenie aktualnego poboru mocy przez zasilacze</w:t>
            </w:r>
          </w:p>
          <w:p w14:paraId="50BC3282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sprawdzenie temperatury powietrza</w:t>
            </w:r>
          </w:p>
          <w:p w14:paraId="5EEA95D8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sprawdzenie modelu kontrolera RAID oraz utworzonych dysków fizycznych i logicznych</w:t>
            </w:r>
          </w:p>
          <w:p w14:paraId="68835988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sprawdzenie ilości zainstalowanych podzespołów (procesory, pamięci)</w:t>
            </w:r>
          </w:p>
          <w:p w14:paraId="120E9CFC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wyświetlanie alarmów dot. pracy serwera</w:t>
            </w:r>
          </w:p>
          <w:p w14:paraId="55A93C92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konfiguracje adresacji IP portu management port</w:t>
            </w:r>
          </w:p>
          <w:p w14:paraId="5885A2C0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włączenie oraz wyłączenie serwera</w:t>
            </w:r>
          </w:p>
          <w:p w14:paraId="19C1874E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sprawdzenie wersji firmware</w:t>
            </w:r>
          </w:p>
          <w:p w14:paraId="30706FDD" w14:textId="77777777" w:rsidR="006551B2" w:rsidRPr="00972EEA" w:rsidRDefault="006551B2" w:rsidP="00984923">
            <w:pPr>
              <w:numPr>
                <w:ilvl w:val="0"/>
                <w:numId w:val="15"/>
              </w:numPr>
              <w:spacing w:after="0" w:line="251" w:lineRule="auto"/>
              <w:ind w:left="915" w:hanging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pobranie logów serwera</w:t>
            </w:r>
          </w:p>
          <w:p w14:paraId="6480316C" w14:textId="77777777" w:rsidR="006551B2" w:rsidRPr="00972EEA" w:rsidRDefault="006551B2" w:rsidP="00984923">
            <w:pPr>
              <w:spacing w:after="0" w:line="251" w:lineRule="auto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 Serwer musi posiadać wbudowany panel diagnostyczny LCD z przodu serwera, który pozwala na:</w:t>
            </w:r>
          </w:p>
          <w:p w14:paraId="24F4E8A8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podanie informacji na temat numeru seryjnego serwera </w:t>
            </w:r>
          </w:p>
          <w:p w14:paraId="628E4880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podanie informacji na temat aktualnych temperatur serwera</w:t>
            </w:r>
          </w:p>
          <w:p w14:paraId="07803DAE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podanie informacji na temat aktualnego poboru prądu</w:t>
            </w:r>
          </w:p>
          <w:p w14:paraId="5DCAF441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podanie informacji na temat konfiguracji sieciowej karty zarządzającej serwera (adres IP, maska podsieci, brama, adres MAC)</w:t>
            </w:r>
          </w:p>
          <w:p w14:paraId="4E095CB8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podanie informacji na temat sprawności komponentów serwera (pamięci, wentylatory, procesory, temperatura pracy, zasilacze, karta RAID)</w:t>
            </w:r>
          </w:p>
          <w:p w14:paraId="5836E964" w14:textId="77777777" w:rsidR="006551B2" w:rsidRPr="00972EEA" w:rsidRDefault="006551B2" w:rsidP="00984923">
            <w:pPr>
              <w:numPr>
                <w:ilvl w:val="0"/>
                <w:numId w:val="17"/>
              </w:numPr>
              <w:spacing w:line="259" w:lineRule="auto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zmianę adresu IP karty zarządzającej</w:t>
            </w:r>
          </w:p>
        </w:tc>
        <w:tc>
          <w:tcPr>
            <w:tcW w:w="2835" w:type="dxa"/>
          </w:tcPr>
          <w:p w14:paraId="0FEB1D28" w14:textId="57EB5DE8" w:rsidR="006551B2" w:rsidRPr="00972EEA" w:rsidRDefault="006551B2" w:rsidP="006551B2">
            <w:pPr>
              <w:spacing w:after="0" w:line="240" w:lineRule="auto"/>
              <w:ind w:left="348"/>
              <w:contextualSpacing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lastRenderedPageBreak/>
              <w:t>spełnia/nie spełnia *</w:t>
            </w:r>
          </w:p>
        </w:tc>
      </w:tr>
      <w:tr w:rsidR="006551B2" w:rsidRPr="00972EEA" w14:paraId="2481784E" w14:textId="1B551C8D" w:rsidTr="006551B2">
        <w:trPr>
          <w:trHeight w:val="6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D02B" w14:textId="3CA0D221" w:rsidR="006551B2" w:rsidRPr="00972EEA" w:rsidRDefault="00290F50" w:rsidP="00B30649">
            <w:pPr>
              <w:spacing w:after="0" w:line="276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="006551B2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E80C" w14:textId="77777777" w:rsidR="006551B2" w:rsidRPr="00972EEA" w:rsidRDefault="006551B2" w:rsidP="00B30649">
            <w:pPr>
              <w:spacing w:after="0" w:line="276" w:lineRule="auto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72EEA"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Inne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F9D1" w14:textId="77777777" w:rsidR="006551B2" w:rsidRPr="00972EEA" w:rsidRDefault="006551B2" w:rsidP="00B30649">
            <w:pPr>
              <w:numPr>
                <w:ilvl w:val="0"/>
                <w:numId w:val="16"/>
              </w:numPr>
              <w:spacing w:after="0" w:line="240" w:lineRule="auto"/>
              <w:ind w:left="348" w:hanging="34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2EEA">
              <w:rPr>
                <w:rFonts w:ascii="Calibri" w:hAnsi="Calibri" w:cs="Calibri"/>
                <w:sz w:val="20"/>
                <w:szCs w:val="20"/>
              </w:rPr>
              <w:t>Dostarczony sprzęt musi być fabrycznie nowy i musi pochodzić z oficjalnego kanału sprzedaży producenta na rynek EU.</w:t>
            </w:r>
          </w:p>
        </w:tc>
        <w:tc>
          <w:tcPr>
            <w:tcW w:w="2835" w:type="dxa"/>
          </w:tcPr>
          <w:p w14:paraId="2B350499" w14:textId="65F3BFBA" w:rsidR="006551B2" w:rsidRPr="00972EEA" w:rsidRDefault="006551B2" w:rsidP="006551B2">
            <w:pPr>
              <w:spacing w:after="0" w:line="240" w:lineRule="auto"/>
              <w:ind w:left="348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</w:tc>
      </w:tr>
      <w:tr w:rsidR="001E353C" w:rsidRPr="00972EEA" w14:paraId="7E327ED6" w14:textId="77777777" w:rsidTr="006551B2">
        <w:trPr>
          <w:trHeight w:val="6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3E0" w14:textId="3BCB072F" w:rsidR="001E353C" w:rsidRDefault="001E353C" w:rsidP="001E353C">
            <w:pPr>
              <w:spacing w:after="0" w:line="276" w:lineRule="auto"/>
              <w:ind w:left="-28" w:right="-369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16.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A673" w14:textId="432E6692" w:rsidR="001E353C" w:rsidRPr="00972EEA" w:rsidRDefault="001E353C" w:rsidP="001E353C">
            <w:pPr>
              <w:spacing w:after="0" w:line="276" w:lineRule="auto"/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SimSu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Dodatkowy procesor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6DF5" w14:textId="361BC56F" w:rsidR="001E353C" w:rsidRPr="001E353C" w:rsidRDefault="001E353C" w:rsidP="0064041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E353C">
              <w:rPr>
                <w:rFonts w:ascii="Calibri" w:hAnsi="Calibri" w:cs="Calibri"/>
                <w:sz w:val="20"/>
                <w:szCs w:val="20"/>
              </w:rPr>
              <w:t>1 sztuka procesora Intel Xeon 6780E do posiadanego przez Zamawiającego serwera Dell PowerEdge R770</w:t>
            </w:r>
          </w:p>
        </w:tc>
        <w:tc>
          <w:tcPr>
            <w:tcW w:w="2835" w:type="dxa"/>
          </w:tcPr>
          <w:p w14:paraId="1A399711" w14:textId="77777777" w:rsidR="001E353C" w:rsidRDefault="001E353C" w:rsidP="001E353C">
            <w:pPr>
              <w:pStyle w:val="Akapitzlist"/>
              <w:spacing w:after="0" w:line="240" w:lineRule="auto"/>
              <w:ind w:left="348"/>
              <w:jc w:val="both"/>
              <w:rPr>
                <w:rFonts w:ascii="Arial" w:hAnsi="Arial" w:cs="Arial"/>
                <w:bCs/>
                <w:sz w:val="20"/>
              </w:rPr>
            </w:pPr>
            <w:r w:rsidRPr="00247099">
              <w:rPr>
                <w:rFonts w:ascii="Arial" w:hAnsi="Arial" w:cs="Arial"/>
                <w:bCs/>
                <w:sz w:val="20"/>
              </w:rPr>
              <w:t>spełnia/nie spełnia *</w:t>
            </w:r>
          </w:p>
          <w:p w14:paraId="0918243A" w14:textId="3A5C48AE" w:rsidR="001E353C" w:rsidRPr="00247099" w:rsidRDefault="001E353C" w:rsidP="001E353C">
            <w:pPr>
              <w:spacing w:after="0" w:line="240" w:lineRule="auto"/>
              <w:ind w:left="348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6E1FDF65" w14:textId="77777777" w:rsidR="00984923" w:rsidRPr="00972EEA" w:rsidRDefault="00984923" w:rsidP="00984923">
      <w:pPr>
        <w:keepNext/>
        <w:keepLines/>
        <w:spacing w:before="40" w:after="0" w:line="251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</w:p>
    <w:p w14:paraId="57CA2824" w14:textId="77777777" w:rsidR="00984923" w:rsidRDefault="00984923" w:rsidP="00984923">
      <w:pPr>
        <w:spacing w:line="259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972EEA">
        <w:rPr>
          <w:rFonts w:ascii="Calibri" w:eastAsia="Times New Roman" w:hAnsi="Calibri" w:cs="Calibri"/>
          <w:sz w:val="20"/>
          <w:szCs w:val="20"/>
          <w:lang w:eastAsia="pl-PL"/>
        </w:rPr>
        <w:t>*niepotrzebne skreślić</w:t>
      </w:r>
    </w:p>
    <w:p w14:paraId="7950DF86" w14:textId="77777777" w:rsidR="002947CA" w:rsidRDefault="002947CA" w:rsidP="00DD793A">
      <w:pPr>
        <w:spacing w:line="259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6231988" w14:textId="11DD7EA9" w:rsidR="002947CA" w:rsidRPr="002947CA" w:rsidRDefault="002947CA" w:rsidP="002947CA">
      <w:pPr>
        <w:spacing w:line="259" w:lineRule="auto"/>
        <w:ind w:left="7080" w:firstLine="708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2947CA">
        <w:rPr>
          <w:rFonts w:ascii="Calibri" w:eastAsia="Times New Roman" w:hAnsi="Calibri" w:cs="Calibri"/>
          <w:sz w:val="20"/>
          <w:szCs w:val="20"/>
          <w:lang w:eastAsia="pl-PL"/>
        </w:rPr>
        <w:t>(podpis)</w:t>
      </w:r>
    </w:p>
    <w:p w14:paraId="7B9750B1" w14:textId="77777777" w:rsidR="002947CA" w:rsidRPr="002947CA" w:rsidRDefault="002947CA" w:rsidP="002947CA">
      <w:pPr>
        <w:spacing w:line="259" w:lineRule="auto"/>
        <w:jc w:val="right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947C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Dokument musi być złożony pod rygorem nieważności</w:t>
      </w:r>
      <w:r w:rsidRPr="002947C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</w:p>
    <w:p w14:paraId="01FF862D" w14:textId="76FF91C8" w:rsidR="002947CA" w:rsidRPr="002947CA" w:rsidRDefault="002947CA" w:rsidP="002947CA">
      <w:pPr>
        <w:spacing w:line="259" w:lineRule="auto"/>
        <w:ind w:left="5664" w:firstLine="708"/>
        <w:jc w:val="center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2947C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w formie elektronicznej</w:t>
      </w:r>
    </w:p>
    <w:sectPr w:rsidR="002947CA" w:rsidRPr="002947CA" w:rsidSect="00984923">
      <w:headerReference w:type="default" r:id="rId8"/>
      <w:footerReference w:type="default" r:id="rId9"/>
      <w:pgSz w:w="15840" w:h="1224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FF212" w14:textId="77777777" w:rsidR="002947CA" w:rsidRDefault="002947CA" w:rsidP="002947CA">
      <w:pPr>
        <w:spacing w:after="0" w:line="240" w:lineRule="auto"/>
      </w:pPr>
      <w:r>
        <w:separator/>
      </w:r>
    </w:p>
  </w:endnote>
  <w:endnote w:type="continuationSeparator" w:id="0">
    <w:p w14:paraId="6136CC79" w14:textId="77777777" w:rsidR="002947CA" w:rsidRDefault="002947CA" w:rsidP="00294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AC238" w14:textId="77777777" w:rsidR="002947CA" w:rsidRDefault="002947CA" w:rsidP="002947CA">
    <w:pPr>
      <w:pBdr>
        <w:bottom w:val="single" w:sz="12" w:space="1" w:color="auto"/>
      </w:pBdr>
      <w:tabs>
        <w:tab w:val="left" w:pos="3757"/>
      </w:tabs>
    </w:pPr>
    <w:r>
      <w:tab/>
    </w:r>
  </w:p>
  <w:p w14:paraId="34F9BC88" w14:textId="77777777" w:rsidR="002947CA" w:rsidRPr="002947CA" w:rsidRDefault="002947CA" w:rsidP="002947CA">
    <w:pPr>
      <w:rPr>
        <w:rStyle w:val="Numerstrony"/>
        <w:sz w:val="20"/>
        <w:szCs w:val="20"/>
      </w:rPr>
    </w:pPr>
    <w:r w:rsidRPr="002947CA">
      <w:rPr>
        <w:sz w:val="20"/>
        <w:szCs w:val="20"/>
      </w:rPr>
      <w:t xml:space="preserve">Specyfikacja warunków zamówienia </w:t>
    </w:r>
    <w:r w:rsidRPr="002947CA">
      <w:rPr>
        <w:sz w:val="20"/>
        <w:szCs w:val="20"/>
      </w:rPr>
      <w:tab/>
    </w:r>
    <w:r w:rsidRPr="002947CA">
      <w:rPr>
        <w:sz w:val="20"/>
        <w:szCs w:val="20"/>
      </w:rPr>
      <w:tab/>
    </w:r>
    <w:r w:rsidRPr="002947CA">
      <w:rPr>
        <w:sz w:val="20"/>
        <w:szCs w:val="20"/>
      </w:rPr>
      <w:tab/>
    </w:r>
    <w:r w:rsidRPr="002947CA">
      <w:rPr>
        <w:sz w:val="20"/>
        <w:szCs w:val="20"/>
      </w:rPr>
      <w:tab/>
    </w:r>
    <w:r w:rsidRPr="002947CA">
      <w:rPr>
        <w:sz w:val="20"/>
        <w:szCs w:val="20"/>
      </w:rPr>
      <w:tab/>
    </w:r>
    <w:r w:rsidRPr="002947CA">
      <w:rPr>
        <w:sz w:val="20"/>
        <w:szCs w:val="20"/>
      </w:rPr>
      <w:tab/>
      <w:t xml:space="preserve">Strona </w:t>
    </w:r>
    <w:r w:rsidRPr="002947CA">
      <w:rPr>
        <w:rStyle w:val="Numerstrony"/>
        <w:sz w:val="20"/>
        <w:szCs w:val="20"/>
      </w:rPr>
      <w:fldChar w:fldCharType="begin"/>
    </w:r>
    <w:r w:rsidRPr="002947CA">
      <w:rPr>
        <w:rStyle w:val="Numerstrony"/>
        <w:sz w:val="20"/>
        <w:szCs w:val="20"/>
      </w:rPr>
      <w:instrText xml:space="preserve"> PAGE </w:instrText>
    </w:r>
    <w:r w:rsidRPr="002947CA">
      <w:rPr>
        <w:rStyle w:val="Numerstrony"/>
        <w:sz w:val="20"/>
        <w:szCs w:val="20"/>
      </w:rPr>
      <w:fldChar w:fldCharType="separate"/>
    </w:r>
    <w:r w:rsidRPr="002947CA">
      <w:rPr>
        <w:rStyle w:val="Numerstrony"/>
        <w:sz w:val="20"/>
        <w:szCs w:val="20"/>
      </w:rPr>
      <w:t>2</w:t>
    </w:r>
    <w:r w:rsidRPr="002947CA">
      <w:rPr>
        <w:rStyle w:val="Numerstrony"/>
        <w:sz w:val="20"/>
        <w:szCs w:val="20"/>
      </w:rPr>
      <w:fldChar w:fldCharType="end"/>
    </w:r>
    <w:r w:rsidRPr="002947CA">
      <w:rPr>
        <w:rStyle w:val="Numerstrony"/>
        <w:sz w:val="20"/>
        <w:szCs w:val="20"/>
      </w:rPr>
      <w:t xml:space="preserve"> z</w:t>
    </w:r>
    <w:r w:rsidRPr="002947CA">
      <w:rPr>
        <w:sz w:val="20"/>
        <w:szCs w:val="20"/>
      </w:rPr>
      <w:t xml:space="preserve"> </w:t>
    </w:r>
    <w:r w:rsidRPr="002947CA">
      <w:rPr>
        <w:rStyle w:val="Numerstrony"/>
        <w:sz w:val="20"/>
        <w:szCs w:val="20"/>
      </w:rPr>
      <w:fldChar w:fldCharType="begin"/>
    </w:r>
    <w:r w:rsidRPr="002947CA">
      <w:rPr>
        <w:rStyle w:val="Numerstrony"/>
        <w:sz w:val="20"/>
        <w:szCs w:val="20"/>
      </w:rPr>
      <w:instrText xml:space="preserve"> NUMPAGES </w:instrText>
    </w:r>
    <w:r w:rsidRPr="002947CA">
      <w:rPr>
        <w:rStyle w:val="Numerstrony"/>
        <w:sz w:val="20"/>
        <w:szCs w:val="20"/>
      </w:rPr>
      <w:fldChar w:fldCharType="separate"/>
    </w:r>
    <w:r w:rsidRPr="002947CA">
      <w:rPr>
        <w:rStyle w:val="Numerstrony"/>
        <w:sz w:val="20"/>
        <w:szCs w:val="20"/>
      </w:rPr>
      <w:t>17</w:t>
    </w:r>
    <w:r w:rsidRPr="002947CA">
      <w:rPr>
        <w:rStyle w:val="Numerstrony"/>
        <w:sz w:val="20"/>
        <w:szCs w:val="20"/>
      </w:rPr>
      <w:fldChar w:fldCharType="end"/>
    </w:r>
  </w:p>
  <w:p w14:paraId="6EE6CAD9" w14:textId="66294FDE" w:rsidR="002947CA" w:rsidRPr="002947CA" w:rsidRDefault="002947CA" w:rsidP="002947CA">
    <w:pPr>
      <w:rPr>
        <w:sz w:val="20"/>
        <w:szCs w:val="20"/>
      </w:rPr>
    </w:pPr>
    <w:r w:rsidRPr="002947CA">
      <w:rPr>
        <w:sz w:val="20"/>
        <w:szCs w:val="20"/>
      </w:rPr>
      <w:t>Nr sprawy: ZAiBI.230.</w:t>
    </w:r>
    <w:r w:rsidR="00DD793A">
      <w:rPr>
        <w:sz w:val="20"/>
        <w:szCs w:val="20"/>
      </w:rPr>
      <w:t>11.</w:t>
    </w:r>
    <w:r w:rsidRPr="002947CA">
      <w:rPr>
        <w:sz w:val="20"/>
        <w:szCs w:val="20"/>
      </w:rPr>
      <w:t>205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C3AB3" w14:textId="77777777" w:rsidR="002947CA" w:rsidRDefault="002947CA" w:rsidP="002947CA">
      <w:pPr>
        <w:spacing w:after="0" w:line="240" w:lineRule="auto"/>
      </w:pPr>
      <w:r>
        <w:separator/>
      </w:r>
    </w:p>
  </w:footnote>
  <w:footnote w:type="continuationSeparator" w:id="0">
    <w:p w14:paraId="33EFF876" w14:textId="77777777" w:rsidR="002947CA" w:rsidRDefault="002947CA" w:rsidP="00294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37DB" w14:textId="7327453C" w:rsidR="002947CA" w:rsidRPr="002947CA" w:rsidRDefault="002947CA" w:rsidP="002947CA">
    <w:pPr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jc w:val="center"/>
      <w:rPr>
        <w:i/>
        <w:sz w:val="20"/>
        <w:szCs w:val="20"/>
      </w:rPr>
    </w:pPr>
    <w:r w:rsidRPr="002947CA">
      <w:rPr>
        <w:i/>
        <w:sz w:val="20"/>
        <w:szCs w:val="20"/>
      </w:rPr>
      <w:t>Centrum</w:t>
    </w:r>
    <w:r w:rsidRPr="002947CA">
      <w:rPr>
        <w:sz w:val="20"/>
        <w:szCs w:val="20"/>
      </w:rPr>
      <w:t xml:space="preserve"> </w:t>
    </w:r>
    <w:r w:rsidRPr="002947CA">
      <w:rPr>
        <w:i/>
        <w:sz w:val="20"/>
        <w:szCs w:val="20"/>
      </w:rPr>
      <w:t>Informatyczne Edukacji, 00-918 Warszawa, al. J. Ch. Szucha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85F80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4"/>
    <w:multiLevelType w:val="hybridMultilevel"/>
    <w:tmpl w:val="E646C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5"/>
    <w:multiLevelType w:val="hybridMultilevel"/>
    <w:tmpl w:val="ACCA6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hybridMultilevel"/>
    <w:tmpl w:val="3A40F2E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7"/>
    <w:multiLevelType w:val="hybridMultilevel"/>
    <w:tmpl w:val="304C1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8"/>
    <w:multiLevelType w:val="hybridMultilevel"/>
    <w:tmpl w:val="85F80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hybridMultilevel"/>
    <w:tmpl w:val="114A8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B"/>
    <w:multiLevelType w:val="hybridMultilevel"/>
    <w:tmpl w:val="BB121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AD60016">
      <w:start w:val="1"/>
      <w:numFmt w:val="bullet"/>
      <w:lvlText w:val="-"/>
      <w:lvlJc w:val="left"/>
      <w:pPr>
        <w:ind w:left="1440" w:hanging="360"/>
      </w:pPr>
      <w:rPr>
        <w:rFonts w:ascii="Calibri" w:eastAsia="SimSu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C"/>
    <w:multiLevelType w:val="hybridMultilevel"/>
    <w:tmpl w:val="1B60A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E"/>
    <w:multiLevelType w:val="hybridMultilevel"/>
    <w:tmpl w:val="CA20A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1"/>
    <w:multiLevelType w:val="hybridMultilevel"/>
    <w:tmpl w:val="D50E2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16"/>
    <w:multiLevelType w:val="hybridMultilevel"/>
    <w:tmpl w:val="22B4CCE0"/>
    <w:lvl w:ilvl="0" w:tplc="8B3E73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1B"/>
    <w:multiLevelType w:val="hybridMultilevel"/>
    <w:tmpl w:val="114A8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E"/>
    <w:multiLevelType w:val="hybridMultilevel"/>
    <w:tmpl w:val="304C1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20"/>
    <w:multiLevelType w:val="hybridMultilevel"/>
    <w:tmpl w:val="3AF88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21"/>
    <w:multiLevelType w:val="hybridMultilevel"/>
    <w:tmpl w:val="52E0D23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5936DE"/>
    <w:multiLevelType w:val="hybridMultilevel"/>
    <w:tmpl w:val="7B04B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1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9674A"/>
    <w:multiLevelType w:val="hybridMultilevel"/>
    <w:tmpl w:val="46B02C5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EE83EE2"/>
    <w:multiLevelType w:val="hybridMultilevel"/>
    <w:tmpl w:val="56008E28"/>
    <w:lvl w:ilvl="0" w:tplc="0415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07F43B2"/>
    <w:multiLevelType w:val="hybridMultilevel"/>
    <w:tmpl w:val="99E434E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41A776B"/>
    <w:multiLevelType w:val="hybridMultilevel"/>
    <w:tmpl w:val="9AE6C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87F1C"/>
    <w:multiLevelType w:val="hybridMultilevel"/>
    <w:tmpl w:val="430E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E38BF"/>
    <w:multiLevelType w:val="hybridMultilevel"/>
    <w:tmpl w:val="46EC2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46613">
    <w:abstractNumId w:val="9"/>
  </w:num>
  <w:num w:numId="2" w16cid:durableId="2101368913">
    <w:abstractNumId w:val="10"/>
  </w:num>
  <w:num w:numId="3" w16cid:durableId="1644460968">
    <w:abstractNumId w:val="12"/>
  </w:num>
  <w:num w:numId="4" w16cid:durableId="451826493">
    <w:abstractNumId w:val="6"/>
  </w:num>
  <w:num w:numId="5" w16cid:durableId="1249266101">
    <w:abstractNumId w:val="8"/>
  </w:num>
  <w:num w:numId="6" w16cid:durableId="674185104">
    <w:abstractNumId w:val="14"/>
  </w:num>
  <w:num w:numId="7" w16cid:durableId="1215114915">
    <w:abstractNumId w:val="5"/>
  </w:num>
  <w:num w:numId="8" w16cid:durableId="734013793">
    <w:abstractNumId w:val="0"/>
  </w:num>
  <w:num w:numId="9" w16cid:durableId="502205225">
    <w:abstractNumId w:val="2"/>
  </w:num>
  <w:num w:numId="10" w16cid:durableId="1254439338">
    <w:abstractNumId w:val="11"/>
  </w:num>
  <w:num w:numId="11" w16cid:durableId="156653667">
    <w:abstractNumId w:val="1"/>
  </w:num>
  <w:num w:numId="12" w16cid:durableId="315305326">
    <w:abstractNumId w:val="4"/>
  </w:num>
  <w:num w:numId="13" w16cid:durableId="816918239">
    <w:abstractNumId w:val="13"/>
  </w:num>
  <w:num w:numId="14" w16cid:durableId="119038489">
    <w:abstractNumId w:val="16"/>
  </w:num>
  <w:num w:numId="15" w16cid:durableId="430703292">
    <w:abstractNumId w:val="3"/>
  </w:num>
  <w:num w:numId="16" w16cid:durableId="171992581">
    <w:abstractNumId w:val="7"/>
  </w:num>
  <w:num w:numId="17" w16cid:durableId="650332303">
    <w:abstractNumId w:val="15"/>
  </w:num>
  <w:num w:numId="18" w16cid:durableId="1569537860">
    <w:abstractNumId w:val="20"/>
  </w:num>
  <w:num w:numId="19" w16cid:durableId="442499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577360">
    <w:abstractNumId w:val="21"/>
  </w:num>
  <w:num w:numId="21" w16cid:durableId="1379477020">
    <w:abstractNumId w:val="17"/>
  </w:num>
  <w:num w:numId="22" w16cid:durableId="228073699">
    <w:abstractNumId w:val="18"/>
  </w:num>
  <w:num w:numId="23" w16cid:durableId="1307583582">
    <w:abstractNumId w:val="19"/>
  </w:num>
  <w:num w:numId="24" w16cid:durableId="10422875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6B"/>
    <w:rsid w:val="000401B1"/>
    <w:rsid w:val="00164BBD"/>
    <w:rsid w:val="001E25FE"/>
    <w:rsid w:val="001E353C"/>
    <w:rsid w:val="00290F50"/>
    <w:rsid w:val="002947CA"/>
    <w:rsid w:val="003A6BC8"/>
    <w:rsid w:val="004B43AB"/>
    <w:rsid w:val="004D3639"/>
    <w:rsid w:val="00565ADD"/>
    <w:rsid w:val="006059DD"/>
    <w:rsid w:val="00640413"/>
    <w:rsid w:val="006551B2"/>
    <w:rsid w:val="006963D5"/>
    <w:rsid w:val="006C7725"/>
    <w:rsid w:val="006D1546"/>
    <w:rsid w:val="007337D6"/>
    <w:rsid w:val="008471D2"/>
    <w:rsid w:val="00865029"/>
    <w:rsid w:val="008A2978"/>
    <w:rsid w:val="00972EEA"/>
    <w:rsid w:val="00984923"/>
    <w:rsid w:val="00AF4710"/>
    <w:rsid w:val="00AF51C5"/>
    <w:rsid w:val="00D03B1F"/>
    <w:rsid w:val="00D9536B"/>
    <w:rsid w:val="00DD793A"/>
    <w:rsid w:val="00EC7B6D"/>
    <w:rsid w:val="00F9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ACEF06"/>
  <w15:chartTrackingRefBased/>
  <w15:docId w15:val="{356C0DC8-5C29-4BA5-BA0E-CB3265A2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5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5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53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53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53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53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53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53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53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53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53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53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53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53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53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53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53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53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53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5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53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5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5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536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953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53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53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53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536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565ADD"/>
  </w:style>
  <w:style w:type="paragraph" w:styleId="Poprawka">
    <w:name w:val="Revision"/>
    <w:hidden/>
    <w:uiPriority w:val="99"/>
    <w:semiHidden/>
    <w:rsid w:val="00290F5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0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0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0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F5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7CA"/>
  </w:style>
  <w:style w:type="paragraph" w:styleId="Stopka">
    <w:name w:val="footer"/>
    <w:basedOn w:val="Normalny"/>
    <w:link w:val="StopkaZnak"/>
    <w:uiPriority w:val="99"/>
    <w:unhideWhenUsed/>
    <w:rsid w:val="0029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CA"/>
  </w:style>
  <w:style w:type="character" w:styleId="Numerstrony">
    <w:name w:val="page number"/>
    <w:basedOn w:val="Domylnaczcionkaakapitu"/>
    <w:rsid w:val="00294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ec.org/cpu2017/results/cpu20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1221</Words>
  <Characters>7328</Characters>
  <Application>Microsoft Office Word</Application>
  <DocSecurity>0</DocSecurity>
  <Lines>61</Lines>
  <Paragraphs>17</Paragraphs>
  <ScaleCrop>false</ScaleCrop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Napiórski Marcin</dc:creator>
  <cp:keywords/>
  <dc:description/>
  <cp:lastModifiedBy>Tomislav Petrović</cp:lastModifiedBy>
  <cp:revision>14</cp:revision>
  <dcterms:created xsi:type="dcterms:W3CDTF">2025-10-16T12:59:00Z</dcterms:created>
  <dcterms:modified xsi:type="dcterms:W3CDTF">2025-12-04T09:34:00Z</dcterms:modified>
</cp:coreProperties>
</file>